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3AD83" w14:textId="77777777" w:rsidR="000A1E44" w:rsidRDefault="0075737F" w:rsidP="0075737F">
      <w:pPr>
        <w:jc w:val="center"/>
        <w:rPr>
          <w:sz w:val="24"/>
          <w:szCs w:val="24"/>
        </w:rPr>
      </w:pPr>
      <w:r>
        <w:rPr>
          <w:noProof/>
          <w:sz w:val="24"/>
          <w:szCs w:val="24"/>
          <w:lang w:eastAsia="fr-BE"/>
        </w:rPr>
        <w:drawing>
          <wp:inline distT="0" distB="0" distL="0" distR="0" wp14:anchorId="44B14146" wp14:editId="5F22037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36E45A93" w14:textId="77777777" w:rsidR="0075737F" w:rsidRDefault="0075737F">
      <w:pPr>
        <w:rPr>
          <w:rFonts w:asciiTheme="minorHAnsi" w:hAnsiTheme="minorHAnsi"/>
          <w:sz w:val="24"/>
          <w:szCs w:val="24"/>
        </w:rPr>
      </w:pPr>
    </w:p>
    <w:p w14:paraId="71738706" w14:textId="77777777" w:rsidR="0075737F" w:rsidRDefault="0075737F">
      <w:pPr>
        <w:rPr>
          <w:rFonts w:asciiTheme="minorHAnsi" w:hAnsiTheme="minorHAnsi"/>
          <w:sz w:val="24"/>
          <w:szCs w:val="24"/>
        </w:rPr>
      </w:pPr>
    </w:p>
    <w:p w14:paraId="780FF846" w14:textId="77777777" w:rsidR="0075737F" w:rsidRPr="0075737F" w:rsidRDefault="0075737F">
      <w:pPr>
        <w:rPr>
          <w:rFonts w:asciiTheme="minorHAnsi" w:hAnsiTheme="minorHAnsi"/>
          <w:sz w:val="24"/>
          <w:szCs w:val="24"/>
        </w:rPr>
      </w:pPr>
    </w:p>
    <w:p w14:paraId="17B48274" w14:textId="77777777"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02FD5AB6" w14:textId="77777777"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14:paraId="4C8D9EEE" w14:textId="77777777"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7016EDBF" w14:textId="77777777" w:rsidR="0075737F" w:rsidRDefault="0075737F" w:rsidP="0075737F">
      <w:pPr>
        <w:jc w:val="center"/>
        <w:rPr>
          <w:rFonts w:asciiTheme="minorHAnsi" w:eastAsia="Times New Roman" w:hAnsiTheme="minorHAnsi" w:cs="Times New Roman"/>
          <w:sz w:val="40"/>
          <w:szCs w:val="40"/>
          <w:lang w:val="fr-FR" w:eastAsia="fr-FR"/>
        </w:rPr>
      </w:pPr>
    </w:p>
    <w:p w14:paraId="3AABAEB3" w14:textId="77777777" w:rsidR="0075737F" w:rsidRDefault="0075737F" w:rsidP="0075737F">
      <w:pPr>
        <w:jc w:val="center"/>
        <w:rPr>
          <w:rFonts w:asciiTheme="minorHAnsi" w:eastAsia="Times New Roman" w:hAnsiTheme="minorHAnsi" w:cs="Times New Roman"/>
          <w:sz w:val="40"/>
          <w:szCs w:val="40"/>
          <w:lang w:val="fr-FR" w:eastAsia="fr-FR"/>
        </w:rPr>
      </w:pPr>
    </w:p>
    <w:p w14:paraId="6759DBAC"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D4D3CBB" w14:textId="77777777"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14:paraId="4FDE5408" w14:textId="77777777" w:rsidTr="004D36C6">
        <w:trPr>
          <w:trHeight w:val="959"/>
        </w:trPr>
        <w:tc>
          <w:tcPr>
            <w:tcW w:w="9322" w:type="dxa"/>
            <w:tcBorders>
              <w:top w:val="nil"/>
              <w:left w:val="nil"/>
              <w:bottom w:val="nil"/>
              <w:right w:val="nil"/>
            </w:tcBorders>
            <w:shd w:val="clear" w:color="auto" w:fill="F2DBDB" w:themeFill="accent2" w:themeFillTint="33"/>
          </w:tcPr>
          <w:p w14:paraId="171FDDAD" w14:textId="77777777"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3C88068C"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496FF463" w14:textId="77777777" w:rsidR="004D36C6" w:rsidRPr="009214E2" w:rsidRDefault="004D36C6" w:rsidP="004D36C6">
            <w:pPr>
              <w:rPr>
                <w:rFonts w:asciiTheme="minorHAnsi" w:eastAsia="Times New Roman" w:hAnsiTheme="minorHAnsi" w:cs="Times New Roman"/>
                <w:sz w:val="24"/>
                <w:szCs w:val="24"/>
                <w:lang w:val="fr-FR" w:eastAsia="fr-FR"/>
              </w:rPr>
            </w:pPr>
          </w:p>
          <w:p w14:paraId="66FF5766"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6CC8D14C"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F124A5E"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2BBBD86F"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606ADD89"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EC1A7FC" w14:textId="77777777" w:rsidR="004D36C6" w:rsidRPr="009214E2" w:rsidRDefault="004D36C6" w:rsidP="004D36C6">
            <w:pPr>
              <w:jc w:val="center"/>
              <w:rPr>
                <w:rFonts w:asciiTheme="minorHAnsi" w:eastAsia="Times New Roman" w:hAnsiTheme="minorHAnsi" w:cs="Times New Roman"/>
                <w:sz w:val="24"/>
                <w:szCs w:val="24"/>
                <w:lang w:val="fr-FR" w:eastAsia="fr-FR"/>
              </w:rPr>
            </w:pPr>
          </w:p>
          <w:p w14:paraId="665658DE" w14:textId="77777777"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199C3343" w14:textId="77777777"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1867596C" w14:textId="77777777" w:rsidR="004D36C6" w:rsidRDefault="004D36C6" w:rsidP="004D36C6">
            <w:pPr>
              <w:rPr>
                <w:rFonts w:asciiTheme="minorHAnsi" w:eastAsia="Times New Roman" w:hAnsiTheme="minorHAnsi" w:cs="Times New Roman"/>
                <w:sz w:val="36"/>
                <w:szCs w:val="36"/>
                <w:lang w:val="fr-FR" w:eastAsia="fr-FR"/>
              </w:rPr>
            </w:pPr>
          </w:p>
        </w:tc>
      </w:tr>
    </w:tbl>
    <w:p w14:paraId="1F4AA1E8" w14:textId="77777777" w:rsidR="004D36C6" w:rsidRDefault="004D36C6" w:rsidP="004D36C6">
      <w:pPr>
        <w:rPr>
          <w:rFonts w:asciiTheme="minorHAnsi" w:eastAsia="Times New Roman" w:hAnsiTheme="minorHAnsi" w:cs="Times New Roman"/>
          <w:sz w:val="36"/>
          <w:szCs w:val="36"/>
          <w:lang w:val="fr-FR" w:eastAsia="fr-FR"/>
        </w:rPr>
      </w:pPr>
    </w:p>
    <w:p w14:paraId="0D320372"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52BAEECD" w14:textId="77777777"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686805C3" w14:textId="77777777" w:rsidR="0075737F" w:rsidRPr="0075737F" w:rsidRDefault="0075737F" w:rsidP="0075737F">
      <w:pPr>
        <w:jc w:val="both"/>
        <w:rPr>
          <w:rFonts w:asciiTheme="minorHAnsi" w:eastAsia="Times New Roman" w:hAnsiTheme="minorHAnsi" w:cs="Times New Roman"/>
          <w:lang w:val="fr-FR" w:eastAsia="fr-FR"/>
        </w:rPr>
      </w:pPr>
    </w:p>
    <w:p w14:paraId="79B1FB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BFC136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50813E5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9418D5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2D7EE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20D7A30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B956BF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7E5B3C83" w14:textId="77777777" w:rsidR="0075737F" w:rsidRPr="0075737F" w:rsidRDefault="0075737F" w:rsidP="0075737F">
      <w:pPr>
        <w:jc w:val="both"/>
        <w:rPr>
          <w:rFonts w:asciiTheme="minorHAnsi" w:eastAsia="Times New Roman" w:hAnsiTheme="minorHAnsi" w:cs="Times New Roman"/>
          <w:lang w:val="fr-FR" w:eastAsia="fr-FR"/>
        </w:rPr>
      </w:pPr>
    </w:p>
    <w:p w14:paraId="0D2D7B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4F07E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392F6FC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6BE0A82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4A069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38F322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14:paraId="626E50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D110BB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51FA5CD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CC79DC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60FC01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ED381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30962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2A1A5F3C" w14:textId="77777777" w:rsidR="0075737F" w:rsidRPr="0075737F" w:rsidRDefault="0075737F" w:rsidP="0075737F">
      <w:pPr>
        <w:jc w:val="both"/>
        <w:rPr>
          <w:rFonts w:asciiTheme="minorHAnsi" w:eastAsia="Times New Roman" w:hAnsiTheme="minorHAnsi" w:cs="Times New Roman"/>
          <w:lang w:val="fr-FR" w:eastAsia="fr-FR"/>
        </w:rPr>
      </w:pPr>
    </w:p>
    <w:p w14:paraId="50C44D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5F026BF"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90B2655" w14:textId="77777777"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7BCA6683" w14:textId="77777777"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ECBB56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07FB66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2A637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4DB795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14:paraId="16F1398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3F3810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64E3F477" w14:textId="77777777" w:rsidR="00B311C9" w:rsidRDefault="00B311C9">
      <w:pPr>
        <w:rPr>
          <w:rFonts w:asciiTheme="minorHAnsi" w:eastAsia="Times New Roman" w:hAnsiTheme="minorHAnsi" w:cs="Times New Roman"/>
          <w:lang w:val="fr-FR" w:eastAsia="fr-FR"/>
        </w:rPr>
      </w:pPr>
    </w:p>
    <w:p w14:paraId="1826679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46147C7" w14:textId="77777777" w:rsidR="004D36C6" w:rsidRPr="0075737F" w:rsidRDefault="004D36C6" w:rsidP="004D36C6">
      <w:pPr>
        <w:jc w:val="both"/>
        <w:rPr>
          <w:rFonts w:asciiTheme="minorHAnsi" w:eastAsia="Times New Roman" w:hAnsiTheme="minorHAnsi" w:cs="Times New Roman"/>
          <w:b/>
          <w:lang w:val="fr-FR" w:eastAsia="fr-FR"/>
        </w:rPr>
      </w:pPr>
    </w:p>
    <w:p w14:paraId="730B660C" w14:textId="77777777"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14:paraId="1756C283" w14:textId="77777777"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14:paraId="7670E1A5" w14:textId="77777777"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14:paraId="638D70C6" w14:textId="77777777" w:rsidR="0075737F" w:rsidRPr="0075737F" w:rsidRDefault="0075737F" w:rsidP="0075737F">
      <w:pPr>
        <w:rPr>
          <w:rFonts w:asciiTheme="minorHAnsi" w:eastAsia="Times New Roman" w:hAnsiTheme="minorHAnsi" w:cs="Times New Roman"/>
          <w:b/>
          <w:lang w:val="fr-FR" w:eastAsia="fr-FR"/>
        </w:rPr>
      </w:pPr>
    </w:p>
    <w:p w14:paraId="442C434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14:paraId="711D00F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00BAA9E0" w14:textId="77777777" w:rsidR="0075737F" w:rsidRPr="0075737F" w:rsidRDefault="0075737F" w:rsidP="0075737F">
      <w:pPr>
        <w:jc w:val="both"/>
        <w:rPr>
          <w:rFonts w:asciiTheme="minorHAnsi" w:eastAsia="Times New Roman" w:hAnsiTheme="minorHAnsi" w:cs="Times New Roman"/>
          <w:b/>
          <w:lang w:val="fr-FR" w:eastAsia="fr-FR"/>
        </w:rPr>
      </w:pPr>
    </w:p>
    <w:p w14:paraId="14139506"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4E48C5D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8D9E8EF" w14:textId="77777777" w:rsidR="004D36C6" w:rsidRDefault="004D36C6" w:rsidP="0075737F">
      <w:pPr>
        <w:rPr>
          <w:rFonts w:asciiTheme="minorHAnsi" w:eastAsia="Times New Roman" w:hAnsiTheme="minorHAnsi" w:cs="Times New Roman"/>
          <w:b/>
          <w:lang w:val="fr-FR" w:eastAsia="fr-FR"/>
        </w:rPr>
      </w:pPr>
    </w:p>
    <w:p w14:paraId="3ACA00AD" w14:textId="77777777"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 xml:space="preserve">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14:paraId="7288BD3E" w14:textId="77777777"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14:paraId="02D0EFE9" w14:textId="77777777" w:rsidR="004D36C6" w:rsidRDefault="004D36C6" w:rsidP="0075737F">
      <w:pPr>
        <w:rPr>
          <w:rFonts w:asciiTheme="minorHAnsi" w:eastAsia="Times New Roman" w:hAnsiTheme="minorHAnsi" w:cs="Times New Roman"/>
          <w:b/>
          <w:lang w:val="fr-FR" w:eastAsia="fr-FR"/>
        </w:rPr>
      </w:pPr>
    </w:p>
    <w:p w14:paraId="24905ED7" w14:textId="77777777" w:rsidR="0045793F" w:rsidRDefault="0045793F" w:rsidP="0075737F">
      <w:pPr>
        <w:rPr>
          <w:rFonts w:asciiTheme="minorHAnsi" w:eastAsia="Times New Roman" w:hAnsiTheme="minorHAnsi" w:cs="Times New Roman"/>
          <w:b/>
          <w:sz w:val="36"/>
          <w:szCs w:val="36"/>
          <w:lang w:val="fr-FR" w:eastAsia="fr-FR"/>
        </w:rPr>
      </w:pPr>
    </w:p>
    <w:p w14:paraId="5193237E" w14:textId="77777777" w:rsidR="0045793F" w:rsidRDefault="0045793F" w:rsidP="0075737F">
      <w:pPr>
        <w:rPr>
          <w:rFonts w:asciiTheme="minorHAnsi" w:eastAsia="Times New Roman" w:hAnsiTheme="minorHAnsi" w:cs="Times New Roman"/>
          <w:b/>
          <w:sz w:val="36"/>
          <w:szCs w:val="36"/>
          <w:lang w:val="fr-FR" w:eastAsia="fr-FR"/>
        </w:rPr>
      </w:pPr>
    </w:p>
    <w:p w14:paraId="14C56AE6" w14:textId="77777777" w:rsidR="0045793F" w:rsidRDefault="0045793F" w:rsidP="0075737F">
      <w:pPr>
        <w:rPr>
          <w:rFonts w:asciiTheme="minorHAnsi" w:eastAsia="Times New Roman" w:hAnsiTheme="minorHAnsi" w:cs="Times New Roman"/>
          <w:b/>
          <w:sz w:val="36"/>
          <w:szCs w:val="36"/>
          <w:lang w:val="fr-FR" w:eastAsia="fr-FR"/>
        </w:rPr>
      </w:pPr>
    </w:p>
    <w:p w14:paraId="74A2B006" w14:textId="77777777" w:rsidR="0045793F" w:rsidRDefault="0045793F" w:rsidP="0075737F">
      <w:pPr>
        <w:rPr>
          <w:rFonts w:asciiTheme="minorHAnsi" w:eastAsia="Times New Roman" w:hAnsiTheme="minorHAnsi" w:cs="Times New Roman"/>
          <w:b/>
          <w:sz w:val="36"/>
          <w:szCs w:val="36"/>
          <w:lang w:val="fr-FR" w:eastAsia="fr-FR"/>
        </w:rPr>
      </w:pPr>
    </w:p>
    <w:p w14:paraId="2047D868" w14:textId="77777777" w:rsidR="0045793F" w:rsidRDefault="0045793F" w:rsidP="0075737F">
      <w:pPr>
        <w:rPr>
          <w:rFonts w:asciiTheme="minorHAnsi" w:eastAsia="Times New Roman" w:hAnsiTheme="minorHAnsi" w:cs="Times New Roman"/>
          <w:b/>
          <w:sz w:val="36"/>
          <w:szCs w:val="36"/>
          <w:lang w:val="fr-FR" w:eastAsia="fr-FR"/>
        </w:rPr>
      </w:pPr>
    </w:p>
    <w:p w14:paraId="7F45DBEE"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3613249C" w14:textId="77777777" w:rsidR="00D32BCD" w:rsidRPr="0075737F" w:rsidRDefault="00D32BCD" w:rsidP="0075737F">
      <w:pPr>
        <w:rPr>
          <w:rFonts w:asciiTheme="minorHAnsi" w:eastAsia="Times New Roman" w:hAnsiTheme="minorHAnsi" w:cs="Times New Roman"/>
          <w:b/>
          <w:lang w:val="fr-FR" w:eastAsia="fr-FR"/>
        </w:rPr>
      </w:pPr>
    </w:p>
    <w:p w14:paraId="177044EC" w14:textId="77777777"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910D9D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2680F6BA" w14:textId="77777777"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C86023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7C0F6D6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6E56441"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59440F6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31054D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44927A5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4F00A8D6" w14:textId="77777777"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426C4016" w14:textId="77777777" w:rsidR="0075737F" w:rsidRPr="0075737F" w:rsidRDefault="0075737F" w:rsidP="00D06AAF">
            <w:pPr>
              <w:rPr>
                <w:rFonts w:asciiTheme="minorHAnsi" w:eastAsiaTheme="minorEastAsia" w:hAnsiTheme="minorHAnsi" w:cstheme="minorBidi"/>
                <w:color w:val="auto"/>
                <w:sz w:val="22"/>
                <w:szCs w:val="22"/>
              </w:rPr>
            </w:pPr>
          </w:p>
          <w:p w14:paraId="4DE355B9"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55C69D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555D39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28A4452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40FE4442"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758D764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0A2ECEA"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75A088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407489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6789F4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C821E4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6D0ADA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EA30FD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D261626"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567AFF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35D754B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0DA38E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EC63E9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65B77E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E12AA8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A2DA8AC"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92CA6B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1049E8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941CDD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C83CC8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74A8C8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1FDA19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4BA6890" w14:textId="77777777"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ACC7D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37C8A7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BD8792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AADA8E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335CC43"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1E9E31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16FD738" w14:textId="77777777"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E4A406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196161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5DB878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1EAAE2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327771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10894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5AA03238" w14:textId="77777777" w:rsidR="0075737F" w:rsidRPr="0075737F" w:rsidRDefault="0075737F" w:rsidP="0075737F">
      <w:pPr>
        <w:rPr>
          <w:rFonts w:asciiTheme="minorHAnsi" w:hAnsiTheme="minorHAnsi"/>
        </w:rPr>
      </w:pPr>
    </w:p>
    <w:p w14:paraId="4EB374FF" w14:textId="77777777"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14:paraId="559C2EA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3B5C81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FC98F31" w14:textId="77777777" w:rsidR="0075737F" w:rsidRPr="0075737F" w:rsidRDefault="0075737F" w:rsidP="0075737F">
      <w:pPr>
        <w:jc w:val="both"/>
        <w:rPr>
          <w:rFonts w:asciiTheme="minorHAnsi" w:eastAsia="Times New Roman" w:hAnsiTheme="minorHAnsi" w:cs="Times New Roman"/>
          <w:b/>
          <w:lang w:val="fr-FR" w:eastAsia="fr-FR"/>
        </w:rPr>
      </w:pPr>
    </w:p>
    <w:p w14:paraId="0287222C"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5369D85" w14:textId="77777777" w:rsidR="0075737F" w:rsidRPr="0075737F" w:rsidRDefault="0075737F" w:rsidP="0075737F">
      <w:pPr>
        <w:jc w:val="both"/>
        <w:rPr>
          <w:rFonts w:asciiTheme="minorHAnsi" w:eastAsia="Times New Roman" w:hAnsiTheme="minorHAnsi" w:cs="Times New Roman"/>
          <w:b/>
          <w:lang w:val="fr-FR" w:eastAsia="fr-FR"/>
        </w:rPr>
      </w:pPr>
    </w:p>
    <w:p w14:paraId="6B45BF3F"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14:paraId="6DC6D31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14:paraId="7F9DE9DB" w14:textId="77777777"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14:paraId="68216D2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6565F923"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413B0D9" w14:textId="77777777" w:rsidR="0075737F" w:rsidRPr="0075737F" w:rsidRDefault="0075737F" w:rsidP="0075737F">
      <w:pPr>
        <w:jc w:val="both"/>
        <w:rPr>
          <w:rFonts w:asciiTheme="minorHAnsi" w:eastAsia="Times New Roman" w:hAnsiTheme="minorHAnsi" w:cs="Times New Roman"/>
          <w:b/>
          <w:lang w:val="fr-FR" w:eastAsia="fr-FR"/>
        </w:rPr>
      </w:pPr>
    </w:p>
    <w:p w14:paraId="52743558"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F2F59DE"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66977EE0" w14:textId="77777777" w:rsidR="00CF6F23" w:rsidRPr="00CF6F23" w:rsidRDefault="00CF6F23" w:rsidP="0075737F">
      <w:pPr>
        <w:jc w:val="both"/>
        <w:rPr>
          <w:rFonts w:asciiTheme="minorHAnsi" w:eastAsia="Times New Roman" w:hAnsiTheme="minorHAnsi" w:cs="Times New Roman"/>
          <w:b/>
          <w:lang w:val="fr-FR" w:eastAsia="fr-FR"/>
        </w:rPr>
      </w:pPr>
    </w:p>
    <w:p w14:paraId="5CEB406C"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813626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AB2C3D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2710C2D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490F658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6EB5F6E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55CEE5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7D594F4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664458F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6716293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58370362"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14:paraId="5189A47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287819BE" w14:textId="77777777"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228048B2" w14:textId="77777777"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14:paraId="2E7190C2" w14:textId="77777777" w:rsidR="004D36C6" w:rsidRDefault="004D36C6" w:rsidP="004D36C6">
      <w:pPr>
        <w:jc w:val="both"/>
        <w:rPr>
          <w:rFonts w:asciiTheme="minorHAnsi" w:eastAsia="Times New Roman" w:hAnsiTheme="minorHAnsi" w:cs="Times New Roman"/>
          <w:b/>
          <w:lang w:val="fr-FR" w:eastAsia="fr-FR"/>
        </w:rPr>
      </w:pPr>
    </w:p>
    <w:p w14:paraId="55CB2FE0" w14:textId="77777777"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14:paraId="6EF89690"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14:paraId="51B50B9F"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14:paraId="298BAF99"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14:paraId="6EDC5C71" w14:textId="77777777"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14:paraId="16D34F6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14:paraId="439A72CB"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14:paraId="1732B50F"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14:paraId="0F58B5BA"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14:paraId="594059AA"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14:paraId="14BCB856" w14:textId="77777777"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14:paraId="26F86C19" w14:textId="77777777"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14:paraId="2357BF0B" w14:textId="77777777" w:rsidR="00885DE9" w:rsidRPr="00885DE9" w:rsidRDefault="00885DE9" w:rsidP="004D36C6">
      <w:pPr>
        <w:jc w:val="both"/>
        <w:rPr>
          <w:rFonts w:asciiTheme="minorHAnsi" w:eastAsia="Times New Roman" w:hAnsiTheme="minorHAnsi" w:cs="Times New Roman"/>
          <w:b/>
          <w:lang w:eastAsia="fr-FR"/>
        </w:rPr>
      </w:pPr>
    </w:p>
    <w:p w14:paraId="7848D92B"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DC02E19"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70B54913" w14:textId="77777777" w:rsidR="002C6201" w:rsidRPr="002C6201" w:rsidRDefault="002C6201" w:rsidP="0075737F">
      <w:pPr>
        <w:jc w:val="both"/>
        <w:rPr>
          <w:rFonts w:asciiTheme="minorHAnsi" w:eastAsia="Times New Roman" w:hAnsiTheme="minorHAnsi" w:cs="Times New Roman"/>
          <w:b/>
          <w:lang w:val="fr-FR" w:eastAsia="fr-FR"/>
        </w:rPr>
      </w:pPr>
    </w:p>
    <w:p w14:paraId="75C14F7E"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 xml:space="preserve">du </w:t>
      </w:r>
      <w:proofErr w:type="spellStart"/>
      <w:r w:rsidR="004D36C6" w:rsidRPr="00115CCF">
        <w:rPr>
          <w:rStyle w:val="Style135pt"/>
          <w:rFonts w:asciiTheme="minorHAnsi" w:hAnsiTheme="minorHAnsi"/>
          <w:sz w:val="22"/>
          <w:szCs w:val="22"/>
          <w:u w:val="single"/>
        </w:rPr>
        <w:t>CoDT</w:t>
      </w:r>
      <w:proofErr w:type="spellEnd"/>
      <w:r w:rsidR="00115CCF">
        <w:rPr>
          <w:rStyle w:val="Style135pt"/>
          <w:rFonts w:asciiTheme="minorHAnsi" w:hAnsiTheme="minorHAnsi"/>
          <w:sz w:val="22"/>
          <w:szCs w:val="22"/>
        </w:rPr>
        <w:t> :</w:t>
      </w:r>
    </w:p>
    <w:p w14:paraId="14137CB4"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4AA3B678" w14:textId="77777777" w:rsidR="00885DE9" w:rsidRDefault="00885DE9" w:rsidP="0075737F">
      <w:pPr>
        <w:jc w:val="both"/>
        <w:rPr>
          <w:rFonts w:asciiTheme="minorHAnsi" w:eastAsia="Times New Roman" w:hAnsiTheme="minorHAnsi" w:cs="Times New Roman"/>
          <w:b/>
          <w:lang w:val="fr-FR" w:eastAsia="fr-FR"/>
        </w:rPr>
      </w:pPr>
    </w:p>
    <w:p w14:paraId="059BF276" w14:textId="77777777" w:rsidR="00885DE9" w:rsidRDefault="00885DE9" w:rsidP="0075737F">
      <w:pPr>
        <w:jc w:val="both"/>
        <w:rPr>
          <w:rFonts w:asciiTheme="minorHAnsi" w:eastAsia="Times New Roman" w:hAnsiTheme="minorHAnsi" w:cs="Times New Roman"/>
          <w:b/>
          <w:lang w:val="fr-FR" w:eastAsia="fr-FR"/>
        </w:rPr>
      </w:pPr>
    </w:p>
    <w:p w14:paraId="4AB15CAD"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113D4173" w14:textId="77777777" w:rsidR="0075737F" w:rsidRPr="0075737F" w:rsidRDefault="0075737F" w:rsidP="0075737F">
      <w:pPr>
        <w:jc w:val="both"/>
        <w:rPr>
          <w:rFonts w:asciiTheme="minorHAnsi" w:eastAsia="Times New Roman" w:hAnsiTheme="minorHAnsi" w:cs="Times New Roman"/>
          <w:b/>
          <w:lang w:val="fr-FR" w:eastAsia="fr-FR"/>
        </w:rPr>
      </w:pPr>
    </w:p>
    <w:p w14:paraId="7604A221"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14:paraId="2ACCC586"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14:paraId="0CC27123" w14:textId="77777777"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14:paraId="1A7AFBD2" w14:textId="77777777" w:rsidR="0003120C" w:rsidRPr="007E72AB" w:rsidRDefault="0003120C" w:rsidP="0003120C">
      <w:pPr>
        <w:jc w:val="both"/>
        <w:rPr>
          <w:rFonts w:asciiTheme="minorHAnsi" w:eastAsia="Times New Roman" w:hAnsiTheme="minorHAnsi" w:cs="Times New Roman"/>
          <w:b/>
          <w:lang w:val="fr-FR" w:eastAsia="fr-FR"/>
        </w:rPr>
      </w:pPr>
    </w:p>
    <w:p w14:paraId="7B1B724A" w14:textId="77777777"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14:paraId="66FC7A44" w14:textId="77777777"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14:paraId="7EEB666E" w14:textId="77777777"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7C58119" w14:textId="77777777"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EF66EBA" w14:textId="77777777"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2F02BCD3" w14:textId="77777777" w:rsidR="00B6648B" w:rsidRPr="00596E18" w:rsidRDefault="00B6648B">
      <w:pPr>
        <w:rPr>
          <w:rFonts w:asciiTheme="minorHAnsi" w:eastAsia="Times New Roman" w:hAnsiTheme="minorHAnsi" w:cs="Times New Roman"/>
          <w:b/>
          <w:lang w:eastAsia="fr-FR"/>
        </w:rPr>
      </w:pPr>
    </w:p>
    <w:p w14:paraId="1712A9AB" w14:textId="77777777"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203D5BE" w14:textId="77777777" w:rsidR="00793F94" w:rsidRPr="0075737F" w:rsidRDefault="00793F94" w:rsidP="00793F94">
      <w:pPr>
        <w:jc w:val="both"/>
        <w:rPr>
          <w:rFonts w:asciiTheme="minorHAnsi" w:eastAsia="Times New Roman" w:hAnsiTheme="minorHAnsi" w:cs="Times New Roman"/>
          <w:b/>
          <w:lang w:val="fr-FR" w:eastAsia="fr-FR"/>
        </w:rPr>
      </w:pPr>
    </w:p>
    <w:p w14:paraId="282BC4F3"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322F5979" w14:textId="77777777"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5D883D77" w14:textId="77777777"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14:paraId="4EAAD526" w14:textId="77777777" w:rsidR="00885DE9" w:rsidRDefault="00885DE9" w:rsidP="0075737F">
      <w:pPr>
        <w:jc w:val="both"/>
        <w:rPr>
          <w:rFonts w:asciiTheme="minorHAnsi" w:eastAsia="Times New Roman" w:hAnsiTheme="minorHAnsi" w:cs="Times New Roman"/>
          <w:b/>
          <w:sz w:val="36"/>
          <w:szCs w:val="36"/>
          <w:lang w:val="fr-FR" w:eastAsia="fr-FR"/>
        </w:rPr>
      </w:pPr>
    </w:p>
    <w:p w14:paraId="0ABFE142" w14:textId="77777777"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E315B44" w14:textId="77777777" w:rsidR="00885DE9" w:rsidRPr="007E7D16" w:rsidRDefault="00885DE9" w:rsidP="00885DE9">
      <w:pPr>
        <w:rPr>
          <w:rFonts w:asciiTheme="minorHAnsi" w:eastAsia="Times New Roman" w:hAnsiTheme="minorHAnsi" w:cs="Times New Roman"/>
          <w:b/>
          <w:lang w:val="fr-FR" w:eastAsia="fr-FR"/>
        </w:rPr>
      </w:pPr>
    </w:p>
    <w:p w14:paraId="46874C0B" w14:textId="77777777"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4F7D2414"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0EDDE431" w14:textId="77777777"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14:paraId="7187E5DE" w14:textId="77777777" w:rsidR="00885DE9" w:rsidRDefault="00885DE9" w:rsidP="00885DE9">
      <w:pPr>
        <w:jc w:val="both"/>
        <w:rPr>
          <w:rFonts w:asciiTheme="minorHAnsi" w:eastAsia="Times New Roman" w:hAnsiTheme="minorHAnsi" w:cs="Times New Roman"/>
          <w:b/>
          <w:sz w:val="36"/>
          <w:szCs w:val="36"/>
          <w:lang w:val="fr-FR" w:eastAsia="fr-FR"/>
        </w:rPr>
      </w:pPr>
    </w:p>
    <w:p w14:paraId="058A6D1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2A87AD26" w14:textId="77777777" w:rsidR="0075737F" w:rsidRPr="0075737F" w:rsidRDefault="0075737F" w:rsidP="0075737F">
      <w:pPr>
        <w:jc w:val="both"/>
        <w:rPr>
          <w:rFonts w:asciiTheme="minorHAnsi" w:eastAsia="Times New Roman" w:hAnsiTheme="minorHAnsi" w:cs="Times New Roman"/>
          <w:b/>
          <w:lang w:val="fr-FR" w:eastAsia="fr-FR"/>
        </w:rPr>
      </w:pPr>
    </w:p>
    <w:p w14:paraId="320A6193" w14:textId="77777777"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14:paraId="534E04EA" w14:textId="77777777" w:rsidR="00346F12" w:rsidRPr="00265662" w:rsidRDefault="00346F12" w:rsidP="00346F12">
      <w:pPr>
        <w:jc w:val="both"/>
        <w:rPr>
          <w:rFonts w:asciiTheme="minorHAnsi" w:eastAsia="Times New Roman" w:hAnsiTheme="minorHAnsi" w:cs="Times New Roman"/>
          <w:lang w:val="fr-FR" w:eastAsia="fr-FR"/>
        </w:rPr>
      </w:pPr>
    </w:p>
    <w:p w14:paraId="731F6DE8" w14:textId="77777777"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14:paraId="17C84283" w14:textId="77777777" w:rsidR="00030D78" w:rsidRPr="00265662" w:rsidRDefault="00030D78" w:rsidP="00030D78">
      <w:pPr>
        <w:ind w:left="705" w:hanging="705"/>
        <w:jc w:val="both"/>
        <w:rPr>
          <w:rFonts w:asciiTheme="minorHAnsi" w:eastAsia="Times New Roman" w:hAnsiTheme="minorHAnsi" w:cs="Times New Roman"/>
          <w:bCs/>
          <w:lang w:val="fr-FR" w:eastAsia="fr-FR"/>
        </w:rPr>
      </w:pPr>
    </w:p>
    <w:p w14:paraId="78AC5E59"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000000">
        <w:rPr>
          <w:rFonts w:asciiTheme="minorHAnsi" w:eastAsia="Times New Roman" w:hAnsiTheme="minorHAnsi" w:cs="Times New Roman"/>
          <w:bCs/>
          <w:lang w:val="fr-FR" w:eastAsia="fr-FR"/>
        </w:rPr>
      </w:r>
      <w:r w:rsidR="00000000">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14:paraId="07AC7678" w14:textId="77777777" w:rsidR="00030D78" w:rsidRPr="00265662" w:rsidRDefault="00030D78" w:rsidP="00030D78">
      <w:pPr>
        <w:jc w:val="both"/>
        <w:rPr>
          <w:rFonts w:asciiTheme="minorHAnsi" w:eastAsia="Times New Roman" w:hAnsiTheme="minorHAnsi" w:cs="Times New Roman"/>
          <w:lang w:val="fr-FR" w:eastAsia="fr-FR"/>
        </w:rPr>
      </w:pPr>
    </w:p>
    <w:p w14:paraId="7E499010" w14:textId="77777777"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14:paraId="6728B809" w14:textId="77777777" w:rsidR="00030D78" w:rsidRPr="00265662" w:rsidRDefault="00030D78" w:rsidP="00030D78">
      <w:pPr>
        <w:jc w:val="both"/>
        <w:rPr>
          <w:rFonts w:asciiTheme="minorHAnsi" w:eastAsia="Times New Roman" w:hAnsiTheme="minorHAnsi" w:cs="Times New Roman"/>
          <w:lang w:val="fr-FR" w:eastAsia="fr-FR"/>
        </w:rPr>
      </w:pPr>
    </w:p>
    <w:p w14:paraId="202925C9" w14:textId="77777777"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659B54CD" w14:textId="77777777"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14:paraId="131132F0" w14:textId="77777777"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14:paraId="15DBDB56" w14:textId="77777777"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14:paraId="2E7A23EC" w14:textId="77777777" w:rsidR="00030D78" w:rsidRPr="00265662" w:rsidRDefault="00030D78" w:rsidP="00030D78">
      <w:pPr>
        <w:jc w:val="both"/>
        <w:rPr>
          <w:rFonts w:asciiTheme="minorHAnsi" w:eastAsia="Times New Roman" w:hAnsiTheme="minorHAnsi" w:cs="Times New Roman"/>
          <w:lang w:val="fr-FR" w:eastAsia="fr-FR"/>
        </w:rPr>
      </w:pPr>
    </w:p>
    <w:p w14:paraId="1EC0D89F"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674314F7" w14:textId="77777777"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14:paraId="13883355" w14:textId="77777777"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14:paraId="6B25F10F"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14:paraId="299DBA98" w14:textId="77777777"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14:paraId="230C33A9"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14:paraId="26269717"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317F05C7" w14:textId="77777777"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710D7483"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14:paraId="2C3BC1E6" w14:textId="77777777"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14:paraId="0B8A5539" w14:textId="77777777" w:rsidR="00030D78" w:rsidRPr="00265662" w:rsidRDefault="00030D78" w:rsidP="00030D78">
      <w:pPr>
        <w:spacing w:before="120"/>
        <w:jc w:val="both"/>
        <w:rPr>
          <w:rFonts w:asciiTheme="minorHAnsi" w:eastAsia="Times New Roman" w:hAnsiTheme="minorHAnsi" w:cs="Times New Roman"/>
          <w:lang w:val="fr-FR" w:eastAsia="fr-FR"/>
        </w:rPr>
      </w:pPr>
    </w:p>
    <w:p w14:paraId="54F415D1" w14:textId="77777777"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14:paraId="32F5CFEA" w14:textId="77777777"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14:paraId="1B360772" w14:textId="77777777"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14:paraId="02C8662D" w14:textId="77777777"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14:paraId="5D0483F1"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14:paraId="1146AC37"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14:paraId="5F498788"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14:paraId="22E1462C"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14:paraId="374DD0B0" w14:textId="77777777"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14:paraId="3F4BCD73" w14:textId="77777777"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000000">
        <w:rPr>
          <w:rFonts w:asciiTheme="minorHAnsi" w:eastAsia="Times New Roman" w:hAnsiTheme="minorHAnsi" w:cs="Times New Roman"/>
          <w:iCs/>
          <w:sz w:val="22"/>
          <w:szCs w:val="22"/>
          <w:lang w:eastAsia="fr-FR"/>
        </w:rPr>
      </w:r>
      <w:r w:rsidR="00000000">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14:paraId="5A1582A0"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14:paraId="064129C4"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14:paraId="0CEBFE6D" w14:textId="77777777"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14:paraId="548C543E" w14:textId="77777777"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Lorsque la demande n’implique pas la création ou l’élargissement d’une voirie communale ni la création ou l’élargissement d’une voirie régionale, les indications relatives au réseau viaire, aux infrastructures et réseaux techniques, à la gestion des </w:t>
      </w:r>
      <w:r w:rsidRPr="0034657D">
        <w:rPr>
          <w:rFonts w:asciiTheme="minorHAnsi" w:eastAsia="Times New Roman" w:hAnsiTheme="minorHAnsi" w:cs="Times New Roman"/>
          <w:lang w:val="fr-FR" w:eastAsia="fr-FR"/>
        </w:rPr>
        <w:lastRenderedPageBreak/>
        <w:t>eaux usées et des eaux de ruissellement, aux espaces publics et aux espaces verts ne sont pas nécessaires.</w:t>
      </w:r>
    </w:p>
    <w:p w14:paraId="2688B4A7" w14:textId="77777777" w:rsidR="0034657D" w:rsidRPr="0034657D" w:rsidRDefault="0034657D" w:rsidP="0034657D">
      <w:pPr>
        <w:spacing w:before="120"/>
        <w:ind w:left="1418"/>
        <w:jc w:val="both"/>
        <w:rPr>
          <w:rFonts w:asciiTheme="minorHAnsi" w:eastAsia="Times New Roman" w:hAnsiTheme="minorHAnsi" w:cs="Times New Roman"/>
          <w:lang w:val="fr-FR" w:eastAsia="fr-FR"/>
        </w:rPr>
      </w:pPr>
    </w:p>
    <w:p w14:paraId="6587343F" w14:textId="77777777"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0EEC3CF7"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14:paraId="17EB8EA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14:paraId="42CD2624"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14:paraId="533CFBC2"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14:paraId="659322A8"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14:paraId="58A5776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14:paraId="5EE355C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14:paraId="525DC00D"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14:paraId="719DA4FC"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14:paraId="47CF57D3" w14:textId="77777777" w:rsidR="00030D78" w:rsidRPr="00265662" w:rsidRDefault="00030D78" w:rsidP="00030D78">
      <w:pPr>
        <w:jc w:val="both"/>
        <w:rPr>
          <w:rFonts w:asciiTheme="minorHAnsi" w:eastAsia="Times New Roman" w:hAnsiTheme="minorHAnsi" w:cs="Times New Roman"/>
          <w:lang w:val="fr-FR" w:eastAsia="fr-FR"/>
        </w:rPr>
      </w:pPr>
    </w:p>
    <w:p w14:paraId="7869124A" w14:textId="77777777"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14:paraId="71EF9C8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14:paraId="105442B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14:paraId="0B8FC9A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14:paraId="26372851"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14:paraId="2D126473"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14:paraId="35A44C05" w14:textId="77777777"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14:paraId="7B053727" w14:textId="77777777"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14:paraId="1221BD1F" w14:textId="77777777"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14:paraId="3360FBBF" w14:textId="77777777" w:rsidR="00030D78" w:rsidRPr="00265662" w:rsidRDefault="00030D78" w:rsidP="00030D78">
      <w:pPr>
        <w:ind w:left="709" w:hanging="708"/>
        <w:jc w:val="both"/>
        <w:rPr>
          <w:rFonts w:asciiTheme="minorHAnsi" w:eastAsia="Times New Roman" w:hAnsiTheme="minorHAnsi" w:cs="Times New Roman"/>
          <w:lang w:val="fr-FR" w:eastAsia="fr-FR"/>
        </w:rPr>
      </w:pPr>
    </w:p>
    <w:p w14:paraId="2AA68BAE" w14:textId="77777777"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14:paraId="52495C04" w14:textId="77777777" w:rsidR="00C026E9" w:rsidRPr="00265662" w:rsidRDefault="00C026E9" w:rsidP="00030D78">
      <w:pPr>
        <w:ind w:left="709" w:hanging="708"/>
        <w:jc w:val="both"/>
        <w:rPr>
          <w:rFonts w:asciiTheme="minorHAnsi" w:eastAsia="Times New Roman" w:hAnsiTheme="minorHAnsi" w:cs="Times New Roman"/>
          <w:i/>
          <w:lang w:val="fr-FR" w:eastAsia="fr-FR"/>
        </w:rPr>
      </w:pPr>
    </w:p>
    <w:p w14:paraId="635BDC12"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14:paraId="5616777A"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lastRenderedPageBreak/>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36F27477" w14:textId="77777777" w:rsidR="00B311C9" w:rsidRPr="00265662" w:rsidRDefault="00B311C9" w:rsidP="00B311C9">
      <w:pPr>
        <w:pStyle w:val="StylePremireligne063cm"/>
        <w:ind w:left="709" w:firstLine="0"/>
        <w:rPr>
          <w:rFonts w:asciiTheme="minorHAnsi" w:hAnsiTheme="minorHAnsi"/>
          <w:sz w:val="22"/>
          <w:szCs w:val="22"/>
          <w:highlight w:val="yellow"/>
        </w:rPr>
      </w:pPr>
    </w:p>
    <w:p w14:paraId="0E6AB759" w14:textId="77777777"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14:paraId="2F089B10" w14:textId="77777777"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14:paraId="78318475"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14:paraId="1EB37FEE"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673F9803" w14:textId="77777777" w:rsidR="00B311C9" w:rsidRDefault="00B311C9" w:rsidP="00B311C9">
      <w:pPr>
        <w:pStyle w:val="StylePremireligne063cm"/>
        <w:tabs>
          <w:tab w:val="left" w:pos="1418"/>
        </w:tabs>
        <w:ind w:left="1418" w:hanging="709"/>
        <w:rPr>
          <w:rStyle w:val="Style135pt"/>
          <w:rFonts w:asciiTheme="minorHAnsi" w:hAnsiTheme="minorHAnsi"/>
          <w:sz w:val="22"/>
          <w:szCs w:val="22"/>
        </w:rPr>
      </w:pPr>
    </w:p>
    <w:p w14:paraId="0DB7A108" w14:textId="77777777"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14:paraId="58A95FA2" w14:textId="77777777"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000000">
        <w:rPr>
          <w:rFonts w:asciiTheme="minorHAnsi" w:hAnsiTheme="minorHAnsi"/>
          <w:sz w:val="22"/>
          <w:szCs w:val="22"/>
        </w:rPr>
      </w:r>
      <w:r w:rsidR="00000000">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14:paraId="74C6BEBD" w14:textId="77777777"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14:paraId="0790404A" w14:textId="77777777"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000000">
        <w:rPr>
          <w:rFonts w:asciiTheme="minorHAnsi" w:eastAsia="Times New Roman" w:hAnsiTheme="minorHAnsi" w:cs="Times New Roman"/>
          <w:lang w:val="fr-FR" w:eastAsia="fr-FR"/>
        </w:rPr>
      </w:r>
      <w:r w:rsidR="00000000">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14:paraId="43FF1273" w14:textId="77777777" w:rsidR="00B37AFC" w:rsidRDefault="00B37AFC" w:rsidP="00B6642B">
      <w:pPr>
        <w:rPr>
          <w:rFonts w:asciiTheme="minorHAnsi" w:hAnsiTheme="minorHAnsi"/>
        </w:rPr>
      </w:pPr>
    </w:p>
    <w:p w14:paraId="2B73AF21" w14:textId="77777777" w:rsidR="00B37AFC" w:rsidRPr="0075737F" w:rsidRDefault="00B37AFC" w:rsidP="00B6642B">
      <w:pPr>
        <w:rPr>
          <w:rFonts w:asciiTheme="minorHAnsi" w:hAnsiTheme="minorHAnsi"/>
        </w:rPr>
      </w:pPr>
    </w:p>
    <w:p w14:paraId="1012474E"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14:paraId="2846254C" w14:textId="77777777" w:rsidR="00565B43" w:rsidRDefault="00565B43">
      <w:pPr>
        <w:rPr>
          <w:rFonts w:asciiTheme="minorHAnsi" w:hAnsiTheme="minorHAnsi"/>
        </w:rPr>
      </w:pPr>
    </w:p>
    <w:p w14:paraId="2611A3A9" w14:textId="77777777" w:rsidR="00885DE9" w:rsidRDefault="00885DE9" w:rsidP="00565B43">
      <w:pPr>
        <w:jc w:val="both"/>
        <w:rPr>
          <w:rFonts w:asciiTheme="minorHAnsi" w:eastAsia="Times New Roman" w:hAnsiTheme="minorHAnsi" w:cs="Times New Roman"/>
          <w:b/>
          <w:sz w:val="36"/>
          <w:szCs w:val="36"/>
          <w:lang w:val="fr-FR" w:eastAsia="fr-FR"/>
        </w:rPr>
      </w:pPr>
    </w:p>
    <w:p w14:paraId="0DC05613" w14:textId="77777777"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14:paraId="26B2DBEA" w14:textId="77777777"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14:paraId="251F02B5" w14:textId="77777777" w:rsidTr="00543FF7">
        <w:trPr>
          <w:trHeight w:val="5938"/>
        </w:trPr>
        <w:tc>
          <w:tcPr>
            <w:tcW w:w="9577" w:type="dxa"/>
          </w:tcPr>
          <w:p w14:paraId="36AB5EA6" w14:textId="77777777" w:rsidR="00565B43" w:rsidRDefault="00565B43" w:rsidP="00565B43">
            <w:pPr>
              <w:jc w:val="both"/>
              <w:rPr>
                <w:rFonts w:asciiTheme="minorHAnsi" w:eastAsia="Times New Roman" w:hAnsiTheme="minorHAnsi" w:cs="Times New Roman"/>
                <w:b/>
                <w:lang w:val="fr-FR" w:eastAsia="fr-FR"/>
              </w:rPr>
            </w:pPr>
          </w:p>
          <w:p w14:paraId="675ADA72" w14:textId="77777777"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237B46F2" w14:textId="77777777" w:rsidR="00565B43" w:rsidRDefault="00565B43" w:rsidP="00565B43">
            <w:pPr>
              <w:jc w:val="both"/>
              <w:rPr>
                <w:rFonts w:asciiTheme="minorHAnsi" w:eastAsia="Times New Roman" w:hAnsiTheme="minorHAnsi" w:cs="Times New Roman"/>
                <w:b/>
                <w:lang w:val="fr-FR" w:eastAsia="fr-FR"/>
              </w:rPr>
            </w:pPr>
          </w:p>
          <w:p w14:paraId="4B5D6B3C" w14:textId="77777777"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 xml:space="preserve">Pour les propriétaires qui n’ont pas contresignés la demande, joindre en annexe la preuve des envois visés à l’article D.IV.95,§2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14:paraId="59E7B4E9" w14:textId="77777777"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14:paraId="0D7B5772" w14:textId="77777777" w:rsidTr="00543FF7">
              <w:trPr>
                <w:trHeight w:val="835"/>
              </w:trPr>
              <w:tc>
                <w:tcPr>
                  <w:tcW w:w="2009" w:type="dxa"/>
                </w:tcPr>
                <w:p w14:paraId="29143FDD" w14:textId="77777777" w:rsidR="00543FF7" w:rsidRDefault="00543FF7" w:rsidP="00565B43">
                  <w:pPr>
                    <w:jc w:val="center"/>
                    <w:rPr>
                      <w:rFonts w:asciiTheme="minorHAnsi" w:eastAsia="Times New Roman" w:hAnsiTheme="minorHAnsi" w:cs="Times New Roman"/>
                      <w:b/>
                      <w:lang w:val="fr-FR" w:eastAsia="fr-FR"/>
                    </w:rPr>
                  </w:pPr>
                </w:p>
                <w:p w14:paraId="08E2C65F"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14:paraId="7EE0F01E" w14:textId="77777777" w:rsidR="00543FF7" w:rsidRDefault="00543FF7" w:rsidP="00565B43">
                  <w:pPr>
                    <w:jc w:val="center"/>
                    <w:rPr>
                      <w:rFonts w:asciiTheme="minorHAnsi" w:eastAsia="Times New Roman" w:hAnsiTheme="minorHAnsi" w:cs="Times New Roman"/>
                      <w:b/>
                      <w:lang w:val="fr-FR" w:eastAsia="fr-FR"/>
                    </w:rPr>
                  </w:pPr>
                </w:p>
                <w:p w14:paraId="1668A54A"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14:paraId="4799BB0F" w14:textId="77777777" w:rsidR="00565B43" w:rsidRDefault="00565B43" w:rsidP="00565B43">
                  <w:pPr>
                    <w:jc w:val="center"/>
                    <w:rPr>
                      <w:rFonts w:asciiTheme="minorHAnsi" w:eastAsia="Times New Roman" w:hAnsiTheme="minorHAnsi" w:cs="Times New Roman"/>
                      <w:b/>
                      <w:lang w:val="fr-FR" w:eastAsia="fr-FR"/>
                    </w:rPr>
                  </w:pPr>
                </w:p>
              </w:tc>
              <w:tc>
                <w:tcPr>
                  <w:tcW w:w="1604" w:type="dxa"/>
                </w:tcPr>
                <w:p w14:paraId="6FAA0A9C" w14:textId="77777777" w:rsidR="00543FF7" w:rsidRDefault="00543FF7" w:rsidP="00565B43">
                  <w:pPr>
                    <w:jc w:val="center"/>
                    <w:rPr>
                      <w:rFonts w:asciiTheme="minorHAnsi" w:eastAsia="Times New Roman" w:hAnsiTheme="minorHAnsi" w:cs="Times New Roman"/>
                      <w:b/>
                      <w:lang w:val="fr-FR" w:eastAsia="fr-FR"/>
                    </w:rPr>
                  </w:pPr>
                </w:p>
                <w:p w14:paraId="6965EC8B"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14:paraId="063083AA" w14:textId="77777777" w:rsidR="00543FF7" w:rsidRDefault="00543FF7" w:rsidP="00565B43">
                  <w:pPr>
                    <w:jc w:val="center"/>
                    <w:rPr>
                      <w:rFonts w:asciiTheme="minorHAnsi" w:eastAsia="Times New Roman" w:hAnsiTheme="minorHAnsi" w:cs="Times New Roman"/>
                      <w:b/>
                      <w:lang w:val="fr-FR" w:eastAsia="fr-FR"/>
                    </w:rPr>
                  </w:pPr>
                </w:p>
                <w:p w14:paraId="0E37CB35" w14:textId="77777777"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14:paraId="586BC078" w14:textId="77777777" w:rsidTr="00543FF7">
              <w:trPr>
                <w:trHeight w:val="589"/>
              </w:trPr>
              <w:tc>
                <w:tcPr>
                  <w:tcW w:w="2009" w:type="dxa"/>
                </w:tcPr>
                <w:p w14:paraId="4FD663D0"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6EC013A0"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59BDE4FF"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6506FED9" w14:textId="77777777" w:rsidR="00565B43" w:rsidRDefault="00565B43" w:rsidP="00565B43">
                  <w:pPr>
                    <w:jc w:val="both"/>
                    <w:rPr>
                      <w:rFonts w:asciiTheme="minorHAnsi" w:eastAsia="Times New Roman" w:hAnsiTheme="minorHAnsi" w:cs="Times New Roman"/>
                      <w:b/>
                      <w:lang w:val="fr-FR" w:eastAsia="fr-FR"/>
                    </w:rPr>
                  </w:pPr>
                </w:p>
              </w:tc>
            </w:tr>
            <w:tr w:rsidR="00565B43" w14:paraId="4B0CAE87" w14:textId="77777777" w:rsidTr="00543FF7">
              <w:trPr>
                <w:trHeight w:val="589"/>
              </w:trPr>
              <w:tc>
                <w:tcPr>
                  <w:tcW w:w="2009" w:type="dxa"/>
                </w:tcPr>
                <w:p w14:paraId="38C39C2D"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34B495B"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A4A0E30"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60F1104" w14:textId="77777777" w:rsidR="00565B43" w:rsidRDefault="00565B43" w:rsidP="00565B43">
                  <w:pPr>
                    <w:jc w:val="both"/>
                    <w:rPr>
                      <w:rFonts w:asciiTheme="minorHAnsi" w:eastAsia="Times New Roman" w:hAnsiTheme="minorHAnsi" w:cs="Times New Roman"/>
                      <w:b/>
                      <w:lang w:val="fr-FR" w:eastAsia="fr-FR"/>
                    </w:rPr>
                  </w:pPr>
                </w:p>
              </w:tc>
            </w:tr>
            <w:tr w:rsidR="00565B43" w14:paraId="57A8D667" w14:textId="77777777" w:rsidTr="00543FF7">
              <w:trPr>
                <w:trHeight w:val="589"/>
              </w:trPr>
              <w:tc>
                <w:tcPr>
                  <w:tcW w:w="2009" w:type="dxa"/>
                </w:tcPr>
                <w:p w14:paraId="40905659"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7C4D5DFC"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F1B7B97"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1C613131" w14:textId="77777777" w:rsidR="00565B43" w:rsidRDefault="00565B43" w:rsidP="00565B43">
                  <w:pPr>
                    <w:jc w:val="both"/>
                    <w:rPr>
                      <w:rFonts w:asciiTheme="minorHAnsi" w:eastAsia="Times New Roman" w:hAnsiTheme="minorHAnsi" w:cs="Times New Roman"/>
                      <w:b/>
                      <w:lang w:val="fr-FR" w:eastAsia="fr-FR"/>
                    </w:rPr>
                  </w:pPr>
                </w:p>
              </w:tc>
            </w:tr>
            <w:tr w:rsidR="00565B43" w14:paraId="7C38425E" w14:textId="77777777" w:rsidTr="00543FF7">
              <w:trPr>
                <w:trHeight w:val="589"/>
              </w:trPr>
              <w:tc>
                <w:tcPr>
                  <w:tcW w:w="2009" w:type="dxa"/>
                </w:tcPr>
                <w:p w14:paraId="033610B4"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C2B705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398217EC"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EDC8071" w14:textId="77777777" w:rsidR="00565B43" w:rsidRDefault="00565B43" w:rsidP="00565B43">
                  <w:pPr>
                    <w:jc w:val="both"/>
                    <w:rPr>
                      <w:rFonts w:asciiTheme="minorHAnsi" w:eastAsia="Times New Roman" w:hAnsiTheme="minorHAnsi" w:cs="Times New Roman"/>
                      <w:b/>
                      <w:lang w:val="fr-FR" w:eastAsia="fr-FR"/>
                    </w:rPr>
                  </w:pPr>
                </w:p>
              </w:tc>
            </w:tr>
            <w:tr w:rsidR="00565B43" w14:paraId="0A82736E" w14:textId="77777777" w:rsidTr="00543FF7">
              <w:trPr>
                <w:trHeight w:val="589"/>
              </w:trPr>
              <w:tc>
                <w:tcPr>
                  <w:tcW w:w="2009" w:type="dxa"/>
                </w:tcPr>
                <w:p w14:paraId="15570FC1" w14:textId="77777777" w:rsidR="00565B43" w:rsidRDefault="00565B43" w:rsidP="00565B43">
                  <w:pPr>
                    <w:jc w:val="both"/>
                    <w:rPr>
                      <w:rFonts w:asciiTheme="minorHAnsi" w:eastAsia="Times New Roman" w:hAnsiTheme="minorHAnsi" w:cs="Times New Roman"/>
                      <w:b/>
                      <w:lang w:val="fr-FR" w:eastAsia="fr-FR"/>
                    </w:rPr>
                  </w:pPr>
                </w:p>
              </w:tc>
              <w:tc>
                <w:tcPr>
                  <w:tcW w:w="3058" w:type="dxa"/>
                </w:tcPr>
                <w:p w14:paraId="48041F7A" w14:textId="77777777" w:rsidR="00565B43" w:rsidRDefault="00565B43" w:rsidP="00565B43">
                  <w:pPr>
                    <w:jc w:val="both"/>
                    <w:rPr>
                      <w:rFonts w:asciiTheme="minorHAnsi" w:eastAsia="Times New Roman" w:hAnsiTheme="minorHAnsi" w:cs="Times New Roman"/>
                      <w:b/>
                      <w:lang w:val="fr-FR" w:eastAsia="fr-FR"/>
                    </w:rPr>
                  </w:pPr>
                </w:p>
              </w:tc>
              <w:tc>
                <w:tcPr>
                  <w:tcW w:w="1604" w:type="dxa"/>
                </w:tcPr>
                <w:p w14:paraId="61386648" w14:textId="77777777" w:rsidR="00565B43" w:rsidRDefault="00565B43" w:rsidP="00565B43">
                  <w:pPr>
                    <w:jc w:val="both"/>
                    <w:rPr>
                      <w:rFonts w:asciiTheme="minorHAnsi" w:eastAsia="Times New Roman" w:hAnsiTheme="minorHAnsi" w:cs="Times New Roman"/>
                      <w:b/>
                      <w:lang w:val="fr-FR" w:eastAsia="fr-FR"/>
                    </w:rPr>
                  </w:pPr>
                </w:p>
              </w:tc>
              <w:tc>
                <w:tcPr>
                  <w:tcW w:w="2038" w:type="dxa"/>
                </w:tcPr>
                <w:p w14:paraId="4BB8C5A0" w14:textId="77777777" w:rsidR="00565B43" w:rsidRDefault="00565B43" w:rsidP="00565B43">
                  <w:pPr>
                    <w:jc w:val="both"/>
                    <w:rPr>
                      <w:rFonts w:asciiTheme="minorHAnsi" w:eastAsia="Times New Roman" w:hAnsiTheme="minorHAnsi" w:cs="Times New Roman"/>
                      <w:b/>
                      <w:lang w:val="fr-FR" w:eastAsia="fr-FR"/>
                    </w:rPr>
                  </w:pPr>
                </w:p>
              </w:tc>
            </w:tr>
          </w:tbl>
          <w:p w14:paraId="4992F071" w14:textId="77777777" w:rsidR="00565B43" w:rsidRDefault="00565B43" w:rsidP="00565B43">
            <w:pPr>
              <w:jc w:val="both"/>
              <w:rPr>
                <w:rFonts w:asciiTheme="minorHAnsi" w:eastAsia="Times New Roman" w:hAnsiTheme="minorHAnsi" w:cs="Times New Roman"/>
                <w:b/>
                <w:sz w:val="36"/>
                <w:szCs w:val="36"/>
                <w:lang w:val="fr-FR" w:eastAsia="fr-FR"/>
              </w:rPr>
            </w:pPr>
          </w:p>
        </w:tc>
      </w:tr>
    </w:tbl>
    <w:p w14:paraId="31B7A38F" w14:textId="77777777" w:rsidR="00565B43" w:rsidRPr="00543FF7" w:rsidRDefault="00565B43" w:rsidP="00565B43">
      <w:pPr>
        <w:jc w:val="both"/>
        <w:rPr>
          <w:rFonts w:asciiTheme="minorHAnsi" w:eastAsia="Times New Roman" w:hAnsiTheme="minorHAnsi" w:cs="Times New Roman"/>
          <w:b/>
          <w:lang w:val="fr-FR" w:eastAsia="fr-FR"/>
        </w:rPr>
      </w:pPr>
    </w:p>
    <w:p w14:paraId="6D0A7B90" w14:textId="77777777"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4633429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378F7241"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151EECB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5E6B54A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69AC13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09F41AB4"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74B1213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A53185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0D881DD"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3CFADC18"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14:paraId="7EDA5244" w14:textId="77777777" w:rsidR="0003120C" w:rsidRDefault="0003120C" w:rsidP="0003120C">
      <w:pPr>
        <w:jc w:val="center"/>
        <w:rPr>
          <w:rFonts w:asciiTheme="minorHAnsi" w:hAnsiTheme="minorHAnsi"/>
          <w:b/>
          <w:lang w:eastAsia="fr-BE"/>
        </w:rPr>
      </w:pPr>
    </w:p>
    <w:p w14:paraId="1892FAD5" w14:textId="77777777"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14:paraId="59AD883B"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14:paraId="71502AE1"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2B89E5B6"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643E4737" w14:textId="77777777"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43EE97D" w14:textId="77777777"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C903874" w14:textId="77777777"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03D27E08" w14:textId="77777777"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lastRenderedPageBreak/>
        <w:t>Art. R.IV.26-3</w:t>
      </w:r>
    </w:p>
    <w:p w14:paraId="3D399BC0" w14:textId="77777777" w:rsidR="00797467" w:rsidRPr="00797467" w:rsidRDefault="00797467" w:rsidP="00797467">
      <w:pPr>
        <w:pStyle w:val="StylePremireligne063cm"/>
        <w:ind w:firstLine="0"/>
        <w:rPr>
          <w:rStyle w:val="Style135pt"/>
          <w:rFonts w:asciiTheme="minorHAnsi" w:hAnsiTheme="minorHAnsi"/>
          <w:sz w:val="22"/>
          <w:szCs w:val="22"/>
        </w:rPr>
      </w:pPr>
    </w:p>
    <w:p w14:paraId="6618D9FB" w14:textId="77777777"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26F6C17"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67929C7F" w14:textId="77777777"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7E8AB4C9" w14:textId="77777777"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A467E81" w14:textId="77777777"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D6FDB86" w14:textId="77777777"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7459A83" w14:textId="77777777"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4459717" w14:textId="77777777" w:rsidR="00885DE9" w:rsidRDefault="00885DE9" w:rsidP="00885DE9">
      <w:pPr>
        <w:rPr>
          <w:lang w:eastAsia="fr-BE"/>
        </w:rPr>
      </w:pPr>
    </w:p>
    <w:p w14:paraId="3CC21ECE" w14:textId="77777777"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E248951" w14:textId="77777777" w:rsidR="00403A6C" w:rsidRDefault="00403A6C" w:rsidP="00403A6C">
      <w:pPr>
        <w:ind w:firstLine="708"/>
        <w:rPr>
          <w:lang w:eastAsia="fr-BE"/>
        </w:rPr>
      </w:pPr>
    </w:p>
    <w:p w14:paraId="5AB4E960" w14:textId="77777777"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6969F8F1" w14:textId="77777777"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1801310"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49681AAA" w14:textId="77777777" w:rsidR="00403A6C" w:rsidRDefault="00403A6C" w:rsidP="00403A6C">
      <w:pPr>
        <w:jc w:val="both"/>
        <w:rPr>
          <w:rStyle w:val="Style135pt"/>
          <w:rFonts w:asciiTheme="minorHAnsi" w:eastAsia="Times New Roman" w:hAnsiTheme="minorHAnsi" w:cs="Times-Roman"/>
          <w:sz w:val="22"/>
          <w:lang w:val="fr-FR" w:eastAsia="fr-FR"/>
        </w:rPr>
      </w:pPr>
    </w:p>
    <w:p w14:paraId="39D3BB08" w14:textId="77777777"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0ABB027E" w14:textId="77777777" w:rsidR="00403A6C" w:rsidRDefault="00403A6C" w:rsidP="00403A6C">
      <w:pPr>
        <w:jc w:val="both"/>
        <w:rPr>
          <w:rStyle w:val="Style135pt"/>
          <w:rFonts w:asciiTheme="minorHAnsi" w:eastAsia="Times New Roman" w:hAnsiTheme="minorHAnsi" w:cs="Times-Roman"/>
          <w:sz w:val="22"/>
          <w:lang w:val="fr-FR" w:eastAsia="fr-FR"/>
        </w:rPr>
      </w:pPr>
    </w:p>
    <w:p w14:paraId="435B546B"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21C27300" w14:textId="77777777"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3BC29095"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323165D8" w14:textId="77777777"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C1CCE69" w14:textId="77777777" w:rsidR="00403A6C" w:rsidRDefault="00403A6C" w:rsidP="00403A6C">
      <w:pPr>
        <w:jc w:val="both"/>
        <w:rPr>
          <w:rStyle w:val="Style135pt"/>
          <w:rFonts w:asciiTheme="minorHAnsi" w:eastAsia="Times New Roman" w:hAnsiTheme="minorHAnsi" w:cs="Times-Roman"/>
          <w:sz w:val="22"/>
          <w:lang w:eastAsia="fr-FR"/>
        </w:rPr>
      </w:pPr>
    </w:p>
    <w:p w14:paraId="68275BCC" w14:textId="77777777"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48F99027"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291C095A" w14:textId="77777777"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339F8BBA" w14:textId="77777777" w:rsidR="00403A6C" w:rsidRPr="00E358A5" w:rsidRDefault="00403A6C" w:rsidP="00403A6C">
      <w:pPr>
        <w:jc w:val="both"/>
        <w:rPr>
          <w:rStyle w:val="Style135pt"/>
          <w:rFonts w:asciiTheme="minorHAnsi" w:eastAsia="Times New Roman" w:hAnsiTheme="minorHAnsi" w:cs="Times-Roman"/>
          <w:sz w:val="22"/>
          <w:lang w:eastAsia="fr-FR"/>
        </w:rPr>
      </w:pPr>
    </w:p>
    <w:p w14:paraId="0AC023BC" w14:textId="77777777"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8278984" w14:textId="77777777" w:rsidR="00403A6C"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FD3327D" w14:textId="77777777" w:rsidR="00403A6C" w:rsidRPr="00E358A5" w:rsidRDefault="00403A6C" w:rsidP="00403A6C">
      <w:pPr>
        <w:jc w:val="both"/>
        <w:rPr>
          <w:rStyle w:val="Style135pt"/>
          <w:rFonts w:asciiTheme="minorHAnsi" w:hAnsiTheme="minorHAnsi"/>
          <w:iCs/>
          <w:sz w:val="22"/>
          <w:lang w:val="fr-FR"/>
        </w:rPr>
      </w:pPr>
    </w:p>
    <w:p w14:paraId="3E5075F9" w14:textId="77777777" w:rsidR="007B342C" w:rsidRDefault="00F5351F" w:rsidP="00F5351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7B342C">
        <w:rPr>
          <w:rStyle w:val="Style135pt"/>
          <w:rFonts w:asciiTheme="minorHAnsi" w:hAnsiTheme="minorHAnsi"/>
          <w:iCs/>
          <w:sz w:val="22"/>
        </w:rPr>
        <w:t xml:space="preserve">. </w:t>
      </w:r>
    </w:p>
    <w:p w14:paraId="0E9E62D3" w14:textId="77777777" w:rsidR="007B342C" w:rsidRDefault="007B342C" w:rsidP="00F5351F">
      <w:pPr>
        <w:jc w:val="both"/>
        <w:rPr>
          <w:rStyle w:val="Style135pt"/>
          <w:rFonts w:asciiTheme="minorHAnsi" w:hAnsiTheme="minorHAnsi"/>
          <w:iCs/>
          <w:sz w:val="22"/>
        </w:rPr>
      </w:pPr>
    </w:p>
    <w:p w14:paraId="5E074EA2" w14:textId="77777777" w:rsidR="007B342C" w:rsidRPr="00881224" w:rsidRDefault="007B342C" w:rsidP="007B342C">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Vous pouvez également contacter gratuitement le Délégué à la Protection des données (ou Data Protection </w:t>
      </w:r>
      <w:proofErr w:type="spellStart"/>
      <w:r w:rsidRPr="00881224">
        <w:rPr>
          <w:rStyle w:val="Style135pt"/>
          <w:rFonts w:asciiTheme="minorHAnsi" w:hAnsiTheme="minorHAnsi" w:cstheme="minorHAnsi"/>
          <w:iCs/>
          <w:sz w:val="22"/>
        </w:rPr>
        <w:t>Officer</w:t>
      </w:r>
      <w:proofErr w:type="spellEnd"/>
      <w:r w:rsidRPr="00881224">
        <w:rPr>
          <w:rStyle w:val="Style135pt"/>
          <w:rFonts w:asciiTheme="minorHAnsi" w:hAnsiTheme="minorHAnsi" w:cstheme="minorHAnsi"/>
          <w:iCs/>
          <w:sz w:val="22"/>
        </w:rPr>
        <w:t xml:space="preserve"> – DPO) dont les coordonnées sont les suivantes : </w:t>
      </w:r>
    </w:p>
    <w:p w14:paraId="5960829A" w14:textId="77777777" w:rsidR="007B342C" w:rsidRPr="00881224" w:rsidRDefault="007B342C" w:rsidP="007B342C">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667F4168" w14:textId="77777777" w:rsidR="007B342C" w:rsidRPr="00881224" w:rsidRDefault="007B342C" w:rsidP="007B342C">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Adresse postale : </w:t>
      </w:r>
    </w:p>
    <w:p w14:paraId="3AFD2F76" w14:textId="77777777" w:rsidR="007B342C" w:rsidRPr="00881224" w:rsidRDefault="007B342C" w:rsidP="007B342C">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Commune de Jemeppe-sur-Sambre</w:t>
      </w:r>
    </w:p>
    <w:p w14:paraId="1E12A54D" w14:textId="77777777" w:rsidR="007B342C" w:rsidRPr="00881224" w:rsidRDefault="007B342C" w:rsidP="007B342C">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Délégué à la protection des données (DPO)</w:t>
      </w:r>
    </w:p>
    <w:p w14:paraId="4C5C2FDF" w14:textId="77777777" w:rsidR="007B342C" w:rsidRPr="00881224" w:rsidRDefault="007B342C" w:rsidP="007B342C">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Place communale, 20</w:t>
      </w:r>
    </w:p>
    <w:p w14:paraId="07A560FF" w14:textId="77777777" w:rsidR="007B342C" w:rsidRPr="00881224" w:rsidRDefault="007B342C" w:rsidP="007B342C">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5190 Jemeppe-sur-Sambre</w:t>
      </w:r>
    </w:p>
    <w:p w14:paraId="6E86C816" w14:textId="77777777" w:rsidR="007B342C" w:rsidRPr="00881224" w:rsidRDefault="007B342C" w:rsidP="007B342C">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43B6EFB3" w14:textId="77777777" w:rsidR="007B342C" w:rsidRPr="00881224" w:rsidRDefault="007B342C" w:rsidP="007B342C">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Adresse e-mail :</w:t>
      </w:r>
    </w:p>
    <w:bookmarkStart w:id="1" w:name="_Hlk118358781"/>
    <w:p w14:paraId="5C167BAB" w14:textId="77777777" w:rsidR="007B342C" w:rsidRPr="00881224" w:rsidRDefault="007B342C" w:rsidP="007B342C">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fldChar w:fldCharType="begin"/>
      </w:r>
      <w:r w:rsidRPr="00881224">
        <w:rPr>
          <w:rStyle w:val="Style135pt"/>
          <w:rFonts w:asciiTheme="minorHAnsi" w:hAnsiTheme="minorHAnsi" w:cstheme="minorHAnsi"/>
          <w:i/>
          <w:sz w:val="22"/>
        </w:rPr>
        <w:instrText xml:space="preserve"> HYPERLINK "mailto:dpo.jemeppe@octogone-consulting.be" </w:instrText>
      </w:r>
      <w:r w:rsidRPr="00881224">
        <w:rPr>
          <w:rStyle w:val="Style135pt"/>
          <w:rFonts w:asciiTheme="minorHAnsi" w:hAnsiTheme="minorHAnsi" w:cstheme="minorHAnsi"/>
          <w:i/>
          <w:sz w:val="22"/>
        </w:rPr>
        <w:fldChar w:fldCharType="separate"/>
      </w:r>
      <w:r w:rsidRPr="00881224">
        <w:rPr>
          <w:rStyle w:val="Lienhypertexte"/>
          <w:rFonts w:asciiTheme="minorHAnsi" w:hAnsiTheme="minorHAnsi" w:cstheme="minorHAnsi"/>
          <w:i/>
        </w:rPr>
        <w:t>dpo.jemeppe@octogone-consulting.be</w:t>
      </w:r>
      <w:r w:rsidRPr="00881224">
        <w:rPr>
          <w:rStyle w:val="Style135pt"/>
          <w:rFonts w:asciiTheme="minorHAnsi" w:hAnsiTheme="minorHAnsi" w:cstheme="minorHAnsi"/>
          <w:i/>
          <w:sz w:val="22"/>
        </w:rPr>
        <w:fldChar w:fldCharType="end"/>
      </w:r>
    </w:p>
    <w:bookmarkEnd w:id="1"/>
    <w:p w14:paraId="17D83F76" w14:textId="77777777" w:rsidR="007B342C" w:rsidRPr="009B3D13" w:rsidRDefault="007B342C" w:rsidP="009B3D13">
      <w:pPr>
        <w:jc w:val="both"/>
        <w:rPr>
          <w:rStyle w:val="Style135pt"/>
          <w:rFonts w:asciiTheme="minorHAnsi" w:hAnsiTheme="minorHAnsi"/>
          <w:iCs/>
          <w:sz w:val="22"/>
        </w:rPr>
      </w:pPr>
    </w:p>
    <w:p w14:paraId="71092E9F" w14:textId="77777777"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084E737D" w14:textId="77777777"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2701" w14:textId="77777777" w:rsidR="002E3F7D" w:rsidRDefault="002E3F7D" w:rsidP="0075737F">
      <w:r>
        <w:separator/>
      </w:r>
    </w:p>
  </w:endnote>
  <w:endnote w:type="continuationSeparator" w:id="0">
    <w:p w14:paraId="27160DFC" w14:textId="77777777" w:rsidR="002E3F7D" w:rsidRDefault="002E3F7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C8F0" w14:textId="77777777" w:rsidR="0045793F" w:rsidRDefault="004579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538B20EC" w14:textId="77777777"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F5351F">
          <w:rPr>
            <w:noProof/>
          </w:rPr>
          <w:t>13</w:t>
        </w:r>
        <w:r>
          <w:rPr>
            <w:noProof/>
          </w:rPr>
          <w:fldChar w:fldCharType="end"/>
        </w:r>
      </w:p>
    </w:sdtContent>
  </w:sdt>
  <w:p w14:paraId="1B7AE5F6" w14:textId="77777777" w:rsidR="00D2599D" w:rsidRDefault="00D2599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F98E" w14:textId="77777777" w:rsidR="0045793F" w:rsidRDefault="004579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AF5EA" w14:textId="77777777" w:rsidR="002E3F7D" w:rsidRDefault="002E3F7D" w:rsidP="0075737F">
      <w:r>
        <w:separator/>
      </w:r>
    </w:p>
  </w:footnote>
  <w:footnote w:type="continuationSeparator" w:id="0">
    <w:p w14:paraId="6188F1AE" w14:textId="77777777" w:rsidR="002E3F7D" w:rsidRDefault="002E3F7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DB6E0" w14:textId="77777777" w:rsidR="0045793F" w:rsidRDefault="0045793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3732" w14:textId="77777777" w:rsidR="00D2599D" w:rsidRDefault="00D2599D" w:rsidP="0075737F">
    <w:pPr>
      <w:pStyle w:val="En-tte"/>
      <w:jc w:val="right"/>
    </w:pPr>
    <w:r>
      <w:t>Annexe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C14E" w14:textId="77777777" w:rsidR="0045793F" w:rsidRDefault="0045793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250167381">
    <w:abstractNumId w:val="1"/>
  </w:num>
  <w:num w:numId="2" w16cid:durableId="269166500">
    <w:abstractNumId w:val="3"/>
  </w:num>
  <w:num w:numId="3" w16cid:durableId="1133905919">
    <w:abstractNumId w:val="8"/>
  </w:num>
  <w:num w:numId="4" w16cid:durableId="1669358496">
    <w:abstractNumId w:val="7"/>
  </w:num>
  <w:num w:numId="5" w16cid:durableId="1506440365">
    <w:abstractNumId w:val="10"/>
  </w:num>
  <w:num w:numId="6" w16cid:durableId="939918240">
    <w:abstractNumId w:val="0"/>
  </w:num>
  <w:num w:numId="7" w16cid:durableId="1481966152">
    <w:abstractNumId w:val="4"/>
  </w:num>
  <w:num w:numId="8" w16cid:durableId="1762682591">
    <w:abstractNumId w:val="2"/>
  </w:num>
  <w:num w:numId="9" w16cid:durableId="28384891">
    <w:abstractNumId w:val="5"/>
  </w:num>
  <w:num w:numId="10" w16cid:durableId="40980944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524832">
    <w:abstractNumId w:val="9"/>
  </w:num>
  <w:num w:numId="12" w16cid:durableId="1761758479">
    <w:abstractNumId w:val="11"/>
  </w:num>
  <w:num w:numId="13" w16cid:durableId="649679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3F7D"/>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11AA"/>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737F"/>
    <w:rsid w:val="00760F80"/>
    <w:rsid w:val="00767C58"/>
    <w:rsid w:val="0077006B"/>
    <w:rsid w:val="00781DB2"/>
    <w:rsid w:val="007868EC"/>
    <w:rsid w:val="007909E2"/>
    <w:rsid w:val="007920AA"/>
    <w:rsid w:val="00793F94"/>
    <w:rsid w:val="00797467"/>
    <w:rsid w:val="007A2A79"/>
    <w:rsid w:val="007B342C"/>
    <w:rsid w:val="007C1F34"/>
    <w:rsid w:val="007C4627"/>
    <w:rsid w:val="007E41CF"/>
    <w:rsid w:val="007E72AB"/>
    <w:rsid w:val="00806F8C"/>
    <w:rsid w:val="0080747A"/>
    <w:rsid w:val="008117B8"/>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B3D13"/>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688D"/>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382A"/>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351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848CD7"/>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7957601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eea4dd-b0f2-4207-bd18-07001ffcb239">
      <Terms xmlns="http://schemas.microsoft.com/office/infopath/2007/PartnerControls"/>
    </lcf76f155ced4ddcb4097134ff3c332f>
    <TaxCatchAll xmlns="a1bc99db-655f-42f0-b82e-952a9d1d8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3A0BD3EF52A4C83DC52D9E2274A7F" ma:contentTypeVersion="15" ma:contentTypeDescription="Crée un document." ma:contentTypeScope="" ma:versionID="f00d8654dfc2735a458088be19800a66">
  <xsd:schema xmlns:xsd="http://www.w3.org/2001/XMLSchema" xmlns:xs="http://www.w3.org/2001/XMLSchema" xmlns:p="http://schemas.microsoft.com/office/2006/metadata/properties" xmlns:ns2="a1bc99db-655f-42f0-b82e-952a9d1d8113" xmlns:ns3="e4eea4dd-b0f2-4207-bd18-07001ffcb239" targetNamespace="http://schemas.microsoft.com/office/2006/metadata/properties" ma:root="true" ma:fieldsID="8390cf5d0a24d1c331b6f04ad1fe0e41" ns2:_="" ns3:_="">
    <xsd:import namespace="a1bc99db-655f-42f0-b82e-952a9d1d8113"/>
    <xsd:import namespace="e4eea4dd-b0f2-4207-bd18-07001ffcb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99db-655f-42f0-b82e-952a9d1d811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343c2e-f4d7-4fc4-9b73-4358fb102943}" ma:internalName="TaxCatchAll" ma:showField="CatchAllData" ma:web="a1bc99db-655f-42f0-b82e-952a9d1d81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eea4dd-b0f2-4207-bd18-07001ffcb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058c018-0bb6-40e7-b3ac-cb9907851a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53B275-A3BE-403A-9481-ABFA1A148FC8}">
  <ds:schemaRefs>
    <ds:schemaRef ds:uri="http://schemas.microsoft.com/office/2006/metadata/properties"/>
    <ds:schemaRef ds:uri="http://schemas.microsoft.com/office/infopath/2007/PartnerControls"/>
    <ds:schemaRef ds:uri="e4eea4dd-b0f2-4207-bd18-07001ffcb239"/>
    <ds:schemaRef ds:uri="a1bc99db-655f-42f0-b82e-952a9d1d8113"/>
  </ds:schemaRefs>
</ds:datastoreItem>
</file>

<file path=customXml/itemProps2.xml><?xml version="1.0" encoding="utf-8"?>
<ds:datastoreItem xmlns:ds="http://schemas.openxmlformats.org/officeDocument/2006/customXml" ds:itemID="{068AB81F-1135-4FA1-BDE8-D64C6E371149}">
  <ds:schemaRefs>
    <ds:schemaRef ds:uri="http://schemas.microsoft.com/sharepoint/v3/contenttype/forms"/>
  </ds:schemaRefs>
</ds:datastoreItem>
</file>

<file path=customXml/itemProps3.xml><?xml version="1.0" encoding="utf-8"?>
<ds:datastoreItem xmlns:ds="http://schemas.openxmlformats.org/officeDocument/2006/customXml" ds:itemID="{40486B56-C281-47A9-90B8-E811316F4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c99db-655f-42f0-b82e-952a9d1d8113"/>
    <ds:schemaRef ds:uri="e4eea4dd-b0f2-4207-bd18-07001ffc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4028</Words>
  <Characters>22156</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Clara Botton (Octogone)</cp:lastModifiedBy>
  <cp:revision>3</cp:revision>
  <cp:lastPrinted>2016-12-21T16:23:00Z</cp:lastPrinted>
  <dcterms:created xsi:type="dcterms:W3CDTF">2022-09-27T06:48:00Z</dcterms:created>
  <dcterms:modified xsi:type="dcterms:W3CDTF">2022-11-03T08:15:00Z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0x010100B5E3A0BD3EF52A4C83DC52D9E2274A7F</vt:lpwstr>
  </property>
</Properties>
</file>